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D52F9">
      <w:pPr>
        <w:rPr>
          <w:rFonts w:ascii="Times New Roman" w:hAnsi="Times New Roman" w:eastAsia="黑体" w:cs="Times New Roman"/>
          <w:bCs/>
          <w:sz w:val="32"/>
          <w:szCs w:val="36"/>
        </w:rPr>
      </w:pPr>
      <w:r>
        <w:rPr>
          <w:rFonts w:ascii="Times New Roman" w:hAnsi="Times New Roman" w:eastAsia="黑体" w:cs="Times New Roman"/>
          <w:bCs/>
          <w:sz w:val="28"/>
          <w:szCs w:val="32"/>
        </w:rPr>
        <w:t>附件1</w:t>
      </w:r>
    </w:p>
    <w:p w14:paraId="6DD4CFCE">
      <w:pPr>
        <w:jc w:val="center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r>
        <w:rPr>
          <w:rFonts w:hint="eastAsia" w:ascii="Times New Roman" w:hAnsi="Times New Roman" w:eastAsia="黑体" w:cs="Times New Roman"/>
          <w:bCs/>
          <w:sz w:val="32"/>
          <w:szCs w:val="36"/>
        </w:rPr>
        <w:t>1</w:t>
      </w:r>
      <w:r>
        <w:rPr>
          <w:rFonts w:ascii="Times New Roman" w:hAnsi="Times New Roman" w:eastAsia="黑体" w:cs="Times New Roman"/>
          <w:bCs/>
          <w:sz w:val="32"/>
          <w:szCs w:val="36"/>
        </w:rPr>
        <w:t xml:space="preserve">-1  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2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>02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职工“技能大比武”之教学竞赛</w:t>
      </w:r>
    </w:p>
    <w:p w14:paraId="1834F844">
      <w:pPr>
        <w:jc w:val="center"/>
        <w:rPr>
          <w:rFonts w:ascii="Times New Roman" w:hAnsi="Times New Roman" w:eastAsia="方正小标宋简体" w:cs="Times New Roman"/>
          <w:sz w:val="32"/>
          <w:szCs w:val="36"/>
          <w:lang w:val="zh-TW" w:eastAsia="zh-TW"/>
        </w:rPr>
      </w:pPr>
      <w:r>
        <w:rPr>
          <w:rFonts w:hint="eastAsia" w:ascii="Times New Roman" w:hAnsi="Times New Roman" w:eastAsia="方正小标宋简体" w:cs="Times New Roman"/>
          <w:sz w:val="32"/>
          <w:szCs w:val="36"/>
          <w:lang w:val="zh-TW" w:eastAsia="zh-TW"/>
        </w:rPr>
        <w:t>评分标准（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新医科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 w:eastAsia="zh-TW"/>
        </w:rPr>
        <w:t>组）</w:t>
      </w:r>
    </w:p>
    <w:p w14:paraId="296F2EA9">
      <w:pPr>
        <w:widowControl/>
        <w:spacing w:before="156" w:beforeLines="50" w:after="156" w:afterLines="50"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  <w:t>教学设计创新汇报（100分）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7323"/>
        <w:gridCol w:w="1349"/>
      </w:tblGrid>
      <w:tr w14:paraId="5B3E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Align w:val="center"/>
          </w:tcPr>
          <w:p w14:paraId="295DDA05">
            <w:pPr>
              <w:adjustRightInd w:val="0"/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评价维度</w:t>
            </w:r>
          </w:p>
        </w:tc>
        <w:tc>
          <w:tcPr>
            <w:tcW w:w="3502" w:type="pct"/>
            <w:vAlign w:val="center"/>
          </w:tcPr>
          <w:p w14:paraId="1081B661">
            <w:pPr>
              <w:adjustRightInd w:val="0"/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评价要点</w:t>
            </w:r>
          </w:p>
        </w:tc>
        <w:tc>
          <w:tcPr>
            <w:tcW w:w="645" w:type="pct"/>
            <w:vAlign w:val="center"/>
          </w:tcPr>
          <w:p w14:paraId="0CEA17C4">
            <w:pPr>
              <w:adjustRightInd w:val="0"/>
              <w:snapToGrid w:val="0"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  <w:t>分值</w:t>
            </w:r>
          </w:p>
        </w:tc>
      </w:tr>
      <w:tr w14:paraId="39D2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853" w:type="pct"/>
            <w:vAlign w:val="center"/>
          </w:tcPr>
          <w:p w14:paraId="035302D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理念与</w:t>
            </w:r>
          </w:p>
          <w:p w14:paraId="22A07C4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目标</w:t>
            </w:r>
          </w:p>
        </w:tc>
        <w:tc>
          <w:tcPr>
            <w:tcW w:w="3502" w:type="pct"/>
            <w:vAlign w:val="center"/>
          </w:tcPr>
          <w:p w14:paraId="01CD3E11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  <w:tc>
          <w:tcPr>
            <w:tcW w:w="645" w:type="pct"/>
            <w:vAlign w:val="center"/>
          </w:tcPr>
          <w:p w14:paraId="594F8D7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69D1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restart"/>
            <w:vAlign w:val="center"/>
          </w:tcPr>
          <w:p w14:paraId="64ADB81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内容分析</w:t>
            </w:r>
          </w:p>
        </w:tc>
        <w:tc>
          <w:tcPr>
            <w:tcW w:w="3502" w:type="pct"/>
            <w:vAlign w:val="center"/>
          </w:tcPr>
          <w:p w14:paraId="777BF776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教学内容前后知识点关系、地位、作用描述准确，重点、难点分析清楚。</w:t>
            </w:r>
          </w:p>
        </w:tc>
        <w:tc>
          <w:tcPr>
            <w:tcW w:w="645" w:type="pct"/>
            <w:vMerge w:val="restart"/>
            <w:vAlign w:val="center"/>
          </w:tcPr>
          <w:p w14:paraId="073B19C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67AE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continue"/>
            <w:vAlign w:val="center"/>
          </w:tcPr>
          <w:p w14:paraId="1E1EF17C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02" w:type="pct"/>
            <w:vAlign w:val="center"/>
          </w:tcPr>
          <w:p w14:paraId="2422D766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能够将教学内容与学科研究新进展、实践发展新经验、社会需求新变化相联系。</w:t>
            </w:r>
          </w:p>
        </w:tc>
        <w:tc>
          <w:tcPr>
            <w:tcW w:w="645" w:type="pct"/>
            <w:vMerge w:val="continue"/>
            <w:vAlign w:val="center"/>
          </w:tcPr>
          <w:p w14:paraId="1C927836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4E22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Align w:val="center"/>
          </w:tcPr>
          <w:p w14:paraId="1EAC785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学情分析</w:t>
            </w:r>
          </w:p>
        </w:tc>
        <w:tc>
          <w:tcPr>
            <w:tcW w:w="3502" w:type="pct"/>
            <w:vAlign w:val="center"/>
          </w:tcPr>
          <w:p w14:paraId="5991EC49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645" w:type="pct"/>
            <w:vAlign w:val="center"/>
          </w:tcPr>
          <w:p w14:paraId="238EB36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1E37E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853" w:type="pct"/>
            <w:vAlign w:val="center"/>
          </w:tcPr>
          <w:p w14:paraId="1F7A92B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课程思政</w:t>
            </w:r>
          </w:p>
        </w:tc>
        <w:tc>
          <w:tcPr>
            <w:tcW w:w="3502" w:type="pct"/>
            <w:vAlign w:val="center"/>
          </w:tcPr>
          <w:p w14:paraId="3C5B8632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645" w:type="pct"/>
            <w:vAlign w:val="center"/>
          </w:tcPr>
          <w:p w14:paraId="0BD7912B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0DD37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restart"/>
            <w:vAlign w:val="center"/>
          </w:tcPr>
          <w:p w14:paraId="62C48EA4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过程与</w:t>
            </w:r>
          </w:p>
          <w:p w14:paraId="29A11EF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方法</w:t>
            </w:r>
          </w:p>
        </w:tc>
        <w:tc>
          <w:tcPr>
            <w:tcW w:w="3502" w:type="pct"/>
            <w:vAlign w:val="center"/>
          </w:tcPr>
          <w:p w14:paraId="252EC1F4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645" w:type="pct"/>
            <w:vMerge w:val="restart"/>
            <w:vAlign w:val="center"/>
          </w:tcPr>
          <w:p w14:paraId="6CA81A08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36A8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continue"/>
            <w:vAlign w:val="center"/>
          </w:tcPr>
          <w:p w14:paraId="03E22F5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02" w:type="pct"/>
            <w:vAlign w:val="center"/>
          </w:tcPr>
          <w:p w14:paraId="173DBDD9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645" w:type="pct"/>
            <w:vMerge w:val="continue"/>
            <w:vAlign w:val="center"/>
          </w:tcPr>
          <w:p w14:paraId="5AE3218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21ED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continue"/>
            <w:vAlign w:val="center"/>
          </w:tcPr>
          <w:p w14:paraId="07BE868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02" w:type="pct"/>
            <w:vAlign w:val="center"/>
          </w:tcPr>
          <w:p w14:paraId="333C0DE3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645" w:type="pct"/>
            <w:vMerge w:val="continue"/>
            <w:vAlign w:val="center"/>
          </w:tcPr>
          <w:p w14:paraId="19CBC543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67B1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continue"/>
            <w:vAlign w:val="center"/>
          </w:tcPr>
          <w:p w14:paraId="309376E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02" w:type="pct"/>
            <w:vAlign w:val="center"/>
          </w:tcPr>
          <w:p w14:paraId="244434FC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  <w:tc>
          <w:tcPr>
            <w:tcW w:w="645" w:type="pct"/>
            <w:vMerge w:val="continue"/>
            <w:vAlign w:val="center"/>
          </w:tcPr>
          <w:p w14:paraId="021EB4BE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74DF9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restart"/>
            <w:vAlign w:val="center"/>
          </w:tcPr>
          <w:p w14:paraId="1E44F595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考评与</w:t>
            </w:r>
          </w:p>
          <w:p w14:paraId="568E0AED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反馈</w:t>
            </w:r>
          </w:p>
        </w:tc>
        <w:tc>
          <w:tcPr>
            <w:tcW w:w="3502" w:type="pct"/>
            <w:vAlign w:val="center"/>
          </w:tcPr>
          <w:p w14:paraId="22460FF9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645" w:type="pct"/>
            <w:vMerge w:val="restart"/>
            <w:vAlign w:val="center"/>
          </w:tcPr>
          <w:p w14:paraId="38C15779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45EA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Merge w:val="continue"/>
            <w:vAlign w:val="center"/>
          </w:tcPr>
          <w:p w14:paraId="3FAB34EA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02" w:type="pct"/>
            <w:vAlign w:val="center"/>
          </w:tcPr>
          <w:p w14:paraId="2619C6C2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645" w:type="pct"/>
            <w:vMerge w:val="continue"/>
            <w:vAlign w:val="center"/>
          </w:tcPr>
          <w:p w14:paraId="451E5D20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7164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Align w:val="center"/>
          </w:tcPr>
          <w:p w14:paraId="59007E0F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文档规范</w:t>
            </w:r>
          </w:p>
        </w:tc>
        <w:tc>
          <w:tcPr>
            <w:tcW w:w="3502" w:type="pct"/>
            <w:vAlign w:val="center"/>
          </w:tcPr>
          <w:p w14:paraId="02F0F7F2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645" w:type="pct"/>
            <w:vAlign w:val="center"/>
          </w:tcPr>
          <w:p w14:paraId="223D94A1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773B8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3" w:type="pct"/>
            <w:vAlign w:val="center"/>
          </w:tcPr>
          <w:p w14:paraId="3C819602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设计创新</w:t>
            </w:r>
          </w:p>
        </w:tc>
        <w:tc>
          <w:tcPr>
            <w:tcW w:w="3502" w:type="pct"/>
            <w:vAlign w:val="center"/>
          </w:tcPr>
          <w:p w14:paraId="526491D5">
            <w:pPr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645" w:type="pct"/>
            <w:vAlign w:val="center"/>
          </w:tcPr>
          <w:p w14:paraId="342868E7"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</w:tbl>
    <w:p w14:paraId="76BE83F7">
      <w:pPr>
        <w:spacing w:before="240"/>
        <w:jc w:val="center"/>
        <w:outlineLvl w:val="0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1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 xml:space="preserve">-2  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2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>02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职工“技能大比武”之教学竞赛</w:t>
      </w:r>
    </w:p>
    <w:p w14:paraId="05D9A1AE">
      <w:pPr>
        <w:jc w:val="center"/>
        <w:outlineLvl w:val="0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r>
        <w:rPr>
          <w:rFonts w:hint="eastAsia" w:ascii="Times New Roman" w:hAnsi="Times New Roman" w:eastAsia="方正小标宋简体" w:cs="Times New Roman"/>
          <w:sz w:val="32"/>
          <w:szCs w:val="36"/>
          <w:lang w:val="zh-TW" w:eastAsia="zh-TW"/>
        </w:rPr>
        <w:t>评分标准（课程思政组）</w:t>
      </w:r>
    </w:p>
    <w:p w14:paraId="6371EE50">
      <w:pPr>
        <w:widowControl/>
        <w:spacing w:before="156" w:beforeLines="50" w:after="156" w:afterLines="50"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  <w:t>教学设计创新汇报（100分）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7452"/>
        <w:gridCol w:w="1476"/>
      </w:tblGrid>
      <w:tr w14:paraId="31B22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067A7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评价维度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53D6B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评价要点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AC47"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  <w:t>分值</w:t>
            </w:r>
          </w:p>
        </w:tc>
      </w:tr>
      <w:tr w14:paraId="4D4A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0C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  <w:t>教学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eastAsia="en-US" w:bidi="en-US"/>
              </w:rPr>
              <w:t>理念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5F04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坚持立德树人，体现“以学生发展为中心”，将价值塑造、知识传授和能力培养融为一体，充分发挥课程育人作用。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F718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730FE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9320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  <w:t>总体设计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0CAC6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E719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0E7C8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7F6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sz w:val="26"/>
                <w:szCs w:val="26"/>
                <w:lang w:bidi="en-US"/>
              </w:rPr>
              <w:t>教学目标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61125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C92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4DD2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34BA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学情分析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9F253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学生认知特点和起点水平表述恰当，学习习惯和能力分析合理，思想发展现状、特点和规律总结准确。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D410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099A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CD7E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eastAsia="en-US" w:bidi="en-US"/>
              </w:rPr>
              <w:t>内容分析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27EDF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357E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7141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FFC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过程与方法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31ECD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教学活动丰富，过渡自然，充分发挥教师主导、学生主体作用，能够帮助学生有效提升素质、知识和能力。</w:t>
            </w:r>
          </w:p>
        </w:tc>
        <w:tc>
          <w:tcPr>
            <w:tcW w:w="70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2B8CF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3741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4BCE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F834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教学方法灵活恰当，现代信息技术应用科学合理，关注学生兴趣、引导学生思考，强调自主、合作、探究的学习。</w:t>
            </w:r>
          </w:p>
        </w:tc>
        <w:tc>
          <w:tcPr>
            <w:tcW w:w="7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739C0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3565C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5E59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63615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教材和教学资源选用科学，教学案例典型恰当，注重价值引领，注重理论联系实际，将思政教育有机融入教学过程。</w:t>
            </w:r>
          </w:p>
        </w:tc>
        <w:tc>
          <w:tcPr>
            <w:tcW w:w="7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E4C7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</w:p>
        </w:tc>
      </w:tr>
      <w:tr w14:paraId="0FEA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4818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考评与反馈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9003D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635F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0F9B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957E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设计创新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2717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2CC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0489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DFE1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文档规范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A54EF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09D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  <w:tr w14:paraId="2DC1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249F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6"/>
                <w:szCs w:val="26"/>
                <w:lang w:bidi="en-US"/>
              </w:rPr>
              <w:t>现场交流</w:t>
            </w:r>
          </w:p>
        </w:tc>
        <w:tc>
          <w:tcPr>
            <w:tcW w:w="35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C6591">
            <w:pPr>
              <w:widowControl/>
              <w:adjustRightInd w:val="0"/>
              <w:snapToGrid w:val="0"/>
              <w:spacing w:line="400" w:lineRule="exact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观点正确，切中要点，条理清晰，重点突出，表达流畅。</w:t>
            </w:r>
          </w:p>
        </w:tc>
        <w:tc>
          <w:tcPr>
            <w:tcW w:w="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9382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6"/>
                <w:szCs w:val="26"/>
                <w:lang w:bidi="en-US"/>
              </w:rPr>
              <w:t>10</w:t>
            </w:r>
          </w:p>
        </w:tc>
      </w:tr>
    </w:tbl>
    <w:p w14:paraId="1E998B4E">
      <w:pPr>
        <w:widowControl/>
        <w:jc w:val="left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r>
        <w:rPr>
          <w:rFonts w:ascii="Times New Roman" w:hAnsi="Times New Roman" w:eastAsia="方正小标宋简体" w:cs="Times New Roman"/>
          <w:sz w:val="32"/>
          <w:szCs w:val="36"/>
          <w:lang w:val="zh-TW"/>
        </w:rPr>
        <w:br w:type="page"/>
      </w:r>
    </w:p>
    <w:p w14:paraId="69DEFD50">
      <w:pPr>
        <w:spacing w:before="240"/>
        <w:jc w:val="center"/>
        <w:outlineLvl w:val="0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bookmarkStart w:id="2" w:name="_GoBack"/>
      <w:bookmarkEnd w:id="2"/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1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>-</w:t>
      </w:r>
      <w:r>
        <w:rPr>
          <w:rFonts w:hint="eastAsia" w:ascii="Times New Roman" w:hAnsi="Times New Roman" w:cs="Times New Roman"/>
          <w:sz w:val="32"/>
          <w:szCs w:val="36"/>
          <w:lang w:val="zh-TW"/>
        </w:rPr>
        <w:t>3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 xml:space="preserve">  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2</w:t>
      </w:r>
      <w:r>
        <w:rPr>
          <w:rFonts w:ascii="Times New Roman" w:hAnsi="Times New Roman" w:eastAsia="PMingLiU" w:cs="Times New Roman"/>
          <w:sz w:val="32"/>
          <w:szCs w:val="36"/>
          <w:lang w:val="zh-TW" w:eastAsia="zh-TW"/>
        </w:rPr>
        <w:t>02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32"/>
          <w:szCs w:val="36"/>
          <w:lang w:val="zh-TW"/>
        </w:rPr>
        <w:t>职工“技能大比武”之教学竞赛</w:t>
      </w:r>
    </w:p>
    <w:p w14:paraId="2AA8DD5A">
      <w:pPr>
        <w:jc w:val="center"/>
        <w:outlineLvl w:val="0"/>
        <w:rPr>
          <w:rFonts w:ascii="Times New Roman" w:hAnsi="Times New Roman" w:eastAsia="方正小标宋简体" w:cs="Times New Roman"/>
          <w:sz w:val="32"/>
          <w:szCs w:val="36"/>
          <w:lang w:val="zh-TW"/>
        </w:rPr>
      </w:pPr>
      <w:r>
        <w:rPr>
          <w:rFonts w:hint="eastAsia" w:ascii="Times New Roman" w:hAnsi="Times New Roman" w:eastAsia="方正小标宋简体" w:cs="Times New Roman"/>
          <w:sz w:val="32"/>
          <w:szCs w:val="36"/>
          <w:lang w:val="zh-TW" w:eastAsia="zh-TW"/>
        </w:rPr>
        <w:t>评分标准（产教融合组）</w:t>
      </w:r>
    </w:p>
    <w:p w14:paraId="6911071B">
      <w:pPr>
        <w:widowControl/>
        <w:spacing w:before="156" w:beforeLines="50" w:after="156" w:afterLines="50"/>
        <w:jc w:val="left"/>
        <w:rPr>
          <w:rFonts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</w:pPr>
      <w:r>
        <w:rPr>
          <w:rFonts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  <w:t>教学设计创新汇报（</w:t>
      </w:r>
      <w:r>
        <w:rPr>
          <w:rFonts w:hint="eastAsia"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  <w:t>100</w:t>
      </w:r>
      <w:r>
        <w:rPr>
          <w:rFonts w:ascii="黑体" w:hAnsi="黑体" w:eastAsia="黑体" w:cs="仿宋_GB2312"/>
          <w:bCs/>
          <w:color w:val="000000"/>
          <w:kern w:val="0"/>
          <w:sz w:val="28"/>
          <w:szCs w:val="28"/>
          <w:lang w:bidi="en-US"/>
        </w:rPr>
        <w:t>分）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7459"/>
        <w:gridCol w:w="1479"/>
      </w:tblGrid>
      <w:tr w14:paraId="201D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 w:hRule="atLeast"/>
        </w:trPr>
        <w:tc>
          <w:tcPr>
            <w:tcW w:w="726" w:type="pct"/>
            <w:vAlign w:val="center"/>
          </w:tcPr>
          <w:p w14:paraId="4D4A8E05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评价维度</w:t>
            </w:r>
          </w:p>
        </w:tc>
        <w:tc>
          <w:tcPr>
            <w:tcW w:w="3567" w:type="pct"/>
            <w:vAlign w:val="center"/>
          </w:tcPr>
          <w:p w14:paraId="40372F48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评价要点</w:t>
            </w:r>
          </w:p>
        </w:tc>
        <w:tc>
          <w:tcPr>
            <w:tcW w:w="707" w:type="pct"/>
          </w:tcPr>
          <w:p w14:paraId="34C64F3B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bidi="en-US"/>
              </w:rPr>
              <w:t>分值</w:t>
            </w:r>
          </w:p>
        </w:tc>
      </w:tr>
      <w:tr w14:paraId="296A9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26" w:type="pct"/>
            <w:vAlign w:val="center"/>
          </w:tcPr>
          <w:p w14:paraId="2E4FEE54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理念与目标</w:t>
            </w:r>
          </w:p>
        </w:tc>
        <w:tc>
          <w:tcPr>
            <w:tcW w:w="3567" w:type="pct"/>
            <w:vAlign w:val="center"/>
          </w:tcPr>
          <w:p w14:paraId="4B76D8DE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课程设计体现“以学生发展为中心”的理念，教学目标符合专业课程特点、学生实际，清楚具体，易于理解，便于实施，助力拔尖创新人才培养。</w:t>
            </w:r>
          </w:p>
        </w:tc>
        <w:tc>
          <w:tcPr>
            <w:tcW w:w="707" w:type="pct"/>
            <w:vAlign w:val="center"/>
          </w:tcPr>
          <w:p w14:paraId="6F65EFB7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6ADD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Merge w:val="restart"/>
            <w:vAlign w:val="center"/>
          </w:tcPr>
          <w:p w14:paraId="79A32500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内容分析</w:t>
            </w:r>
          </w:p>
        </w:tc>
        <w:tc>
          <w:tcPr>
            <w:tcW w:w="3567" w:type="pct"/>
            <w:vAlign w:val="center"/>
          </w:tcPr>
          <w:p w14:paraId="02CF6EE2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紧密对接产业链和创新链，及时将学科研究新进展、实践发展新经验、社会需求新变化、思政教育有机融入课程教学内容，更新及时，动态完善。</w:t>
            </w:r>
          </w:p>
        </w:tc>
        <w:tc>
          <w:tcPr>
            <w:tcW w:w="707" w:type="pct"/>
            <w:vMerge w:val="restart"/>
            <w:vAlign w:val="center"/>
          </w:tcPr>
          <w:p w14:paraId="02A1CB04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38B6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Merge w:val="continue"/>
            <w:vAlign w:val="center"/>
          </w:tcPr>
          <w:p w14:paraId="508D0018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67" w:type="pct"/>
            <w:vAlign w:val="center"/>
          </w:tcPr>
          <w:p w14:paraId="4C497268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避免“两张皮”，将专业课程知识点关系、地位、作用纳入到产业发展的新环境、新背景中去讲授，描述准确，</w:t>
            </w:r>
            <w:bookmarkStart w:id="0" w:name="_Hlk155010005"/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理论与实践结合合理，高校、行业企业内容分配合理</w:t>
            </w:r>
            <w:bookmarkEnd w:id="0"/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；参与教学的双师型师资队伍建设合理。</w:t>
            </w:r>
          </w:p>
        </w:tc>
        <w:tc>
          <w:tcPr>
            <w:tcW w:w="707" w:type="pct"/>
            <w:vMerge w:val="continue"/>
            <w:vAlign w:val="center"/>
          </w:tcPr>
          <w:p w14:paraId="62F20716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</w:p>
        </w:tc>
      </w:tr>
      <w:tr w14:paraId="6980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Merge w:val="restart"/>
            <w:vAlign w:val="center"/>
          </w:tcPr>
          <w:p w14:paraId="5C373E5E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过程与方法</w:t>
            </w:r>
          </w:p>
        </w:tc>
        <w:tc>
          <w:tcPr>
            <w:tcW w:w="3567" w:type="pct"/>
            <w:vAlign w:val="center"/>
          </w:tcPr>
          <w:p w14:paraId="4E608FFD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教学过程在行业企业真实场景下进行，培养学生分析解决复杂问题的能力以及创新创业的意识和能力，实践教学与生产实践对接。</w:t>
            </w:r>
          </w:p>
        </w:tc>
        <w:tc>
          <w:tcPr>
            <w:tcW w:w="707" w:type="pct"/>
            <w:vMerge w:val="restart"/>
            <w:vAlign w:val="center"/>
          </w:tcPr>
          <w:p w14:paraId="731E6EF9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5EB1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Merge w:val="continue"/>
            <w:vAlign w:val="center"/>
          </w:tcPr>
          <w:p w14:paraId="08E18195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67" w:type="pct"/>
            <w:vAlign w:val="center"/>
          </w:tcPr>
          <w:p w14:paraId="4E34E7E7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通过产教协同解决教学过程中存在的各种问题和困难；教学重点突出，难点把握准确，充分调动学生积极性、主动性和创造性。</w:t>
            </w:r>
          </w:p>
        </w:tc>
        <w:tc>
          <w:tcPr>
            <w:tcW w:w="707" w:type="pct"/>
            <w:vMerge w:val="continue"/>
            <w:vAlign w:val="center"/>
          </w:tcPr>
          <w:p w14:paraId="5D2038E7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</w:p>
        </w:tc>
      </w:tr>
      <w:tr w14:paraId="4E02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Merge w:val="continue"/>
            <w:vAlign w:val="center"/>
          </w:tcPr>
          <w:p w14:paraId="54E1ACC3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</w:p>
        </w:tc>
        <w:tc>
          <w:tcPr>
            <w:tcW w:w="3567" w:type="pct"/>
            <w:vAlign w:val="center"/>
          </w:tcPr>
          <w:p w14:paraId="70AD938C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合理选择与应用数字化平台和技术，创设教学环境，强调自主、合作、探究的学习。</w:t>
            </w:r>
          </w:p>
        </w:tc>
        <w:tc>
          <w:tcPr>
            <w:tcW w:w="707" w:type="pct"/>
            <w:vMerge w:val="continue"/>
            <w:vAlign w:val="center"/>
          </w:tcPr>
          <w:p w14:paraId="39CF7375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</w:p>
        </w:tc>
      </w:tr>
      <w:tr w14:paraId="0C4AE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Align w:val="center"/>
          </w:tcPr>
          <w:p w14:paraId="4A22EC75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bidi="en-US"/>
              </w:rPr>
              <w:t>考核评价</w:t>
            </w:r>
          </w:p>
        </w:tc>
        <w:tc>
          <w:tcPr>
            <w:tcW w:w="3567" w:type="pct"/>
            <w:vAlign w:val="center"/>
          </w:tcPr>
          <w:p w14:paraId="38D6320D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评价方法和主体多元，行业企业参与评价，过程性评价和终结性评价相结合，学生知识、能力和思维发展得到合理有效评价。</w:t>
            </w:r>
          </w:p>
        </w:tc>
        <w:tc>
          <w:tcPr>
            <w:tcW w:w="707" w:type="pct"/>
            <w:vAlign w:val="center"/>
          </w:tcPr>
          <w:p w14:paraId="4CAC525A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20</w:t>
            </w:r>
          </w:p>
        </w:tc>
      </w:tr>
      <w:tr w14:paraId="3395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26" w:type="pct"/>
            <w:vAlign w:val="center"/>
          </w:tcPr>
          <w:p w14:paraId="30582137">
            <w:pPr>
              <w:spacing w:line="480" w:lineRule="exact"/>
              <w:jc w:val="center"/>
              <w:rPr>
                <w:rFonts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pacing w:val="-12"/>
                <w:sz w:val="26"/>
                <w:szCs w:val="26"/>
                <w:lang w:eastAsia="en-US" w:bidi="en-US"/>
              </w:rPr>
              <w:t>设计创新</w:t>
            </w:r>
          </w:p>
        </w:tc>
        <w:tc>
          <w:tcPr>
            <w:tcW w:w="3567" w:type="pct"/>
            <w:vAlign w:val="center"/>
          </w:tcPr>
          <w:p w14:paraId="3FFEF8A6">
            <w:pPr>
              <w:spacing w:line="480" w:lineRule="exact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bookmarkStart w:id="1" w:name="_Hlk152943658"/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教学方案的整体设计富有创新性，注重资源整合，能体现产教融合协同育人的教学理念、思路和要求</w:t>
            </w:r>
            <w:bookmarkEnd w:id="1"/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；教学方法选择适当，教学过程设计有突出的特色。</w:t>
            </w:r>
          </w:p>
        </w:tc>
        <w:tc>
          <w:tcPr>
            <w:tcW w:w="707" w:type="pct"/>
            <w:vAlign w:val="center"/>
          </w:tcPr>
          <w:p w14:paraId="7801E5C8">
            <w:pPr>
              <w:spacing w:line="480" w:lineRule="exact"/>
              <w:jc w:val="center"/>
              <w:rPr>
                <w:rFonts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</w:pPr>
            <w:r>
              <w:rPr>
                <w:rFonts w:hint="eastAsia" w:ascii="仿宋_GB2312" w:hAnsi="仿宋" w:eastAsia="仿宋_GB2312" w:cs="Times New Roman"/>
                <w:spacing w:val="-12"/>
                <w:sz w:val="26"/>
                <w:szCs w:val="26"/>
                <w:lang w:bidi="en-US"/>
              </w:rPr>
              <w:t>20</w:t>
            </w:r>
          </w:p>
        </w:tc>
      </w:tr>
    </w:tbl>
    <w:p w14:paraId="34DEB09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BC8C60-5523-463A-B300-6B8914B3D4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5310071-71FB-45F7-BD25-8B0081C482B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558E717-3389-4983-81C4-C6239B111558}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4" w:fontKey="{DBC3E897-ECEA-4FCE-AFEA-D387C0284C3C}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395C8C89-C5DC-4132-9263-04D3683C82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5A9B519-6CEF-4FF5-BA23-6E5088BD02F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34"/>
    <w:rsid w:val="00031AF4"/>
    <w:rsid w:val="0006411B"/>
    <w:rsid w:val="000700EE"/>
    <w:rsid w:val="000B32C7"/>
    <w:rsid w:val="000C68DE"/>
    <w:rsid w:val="000E352A"/>
    <w:rsid w:val="000F7C2B"/>
    <w:rsid w:val="00103403"/>
    <w:rsid w:val="00110F6B"/>
    <w:rsid w:val="00111579"/>
    <w:rsid w:val="0014353B"/>
    <w:rsid w:val="00147634"/>
    <w:rsid w:val="00183DB6"/>
    <w:rsid w:val="00190828"/>
    <w:rsid w:val="00192F08"/>
    <w:rsid w:val="001A345F"/>
    <w:rsid w:val="001E76E3"/>
    <w:rsid w:val="00224B07"/>
    <w:rsid w:val="002257D0"/>
    <w:rsid w:val="002361B3"/>
    <w:rsid w:val="00242AF5"/>
    <w:rsid w:val="00252D7C"/>
    <w:rsid w:val="00272E9A"/>
    <w:rsid w:val="002B3FC4"/>
    <w:rsid w:val="002E62A8"/>
    <w:rsid w:val="002E6534"/>
    <w:rsid w:val="0030703B"/>
    <w:rsid w:val="0031758E"/>
    <w:rsid w:val="003217FA"/>
    <w:rsid w:val="0032470E"/>
    <w:rsid w:val="00326A5F"/>
    <w:rsid w:val="00343BC7"/>
    <w:rsid w:val="00346FEF"/>
    <w:rsid w:val="003502EB"/>
    <w:rsid w:val="003600B6"/>
    <w:rsid w:val="003A289E"/>
    <w:rsid w:val="003F43F5"/>
    <w:rsid w:val="00420061"/>
    <w:rsid w:val="00450E4E"/>
    <w:rsid w:val="0048112F"/>
    <w:rsid w:val="00485D02"/>
    <w:rsid w:val="004A14BA"/>
    <w:rsid w:val="004A5498"/>
    <w:rsid w:val="004A6800"/>
    <w:rsid w:val="004D0444"/>
    <w:rsid w:val="00507BE2"/>
    <w:rsid w:val="00513DD2"/>
    <w:rsid w:val="00532F5C"/>
    <w:rsid w:val="00534252"/>
    <w:rsid w:val="00552AB5"/>
    <w:rsid w:val="00555FF3"/>
    <w:rsid w:val="00571652"/>
    <w:rsid w:val="0057552C"/>
    <w:rsid w:val="00580209"/>
    <w:rsid w:val="00584B0E"/>
    <w:rsid w:val="00593FE0"/>
    <w:rsid w:val="00596721"/>
    <w:rsid w:val="005A5279"/>
    <w:rsid w:val="005B5465"/>
    <w:rsid w:val="005B609B"/>
    <w:rsid w:val="005C11C2"/>
    <w:rsid w:val="005D2CA7"/>
    <w:rsid w:val="005D64CD"/>
    <w:rsid w:val="00616FFA"/>
    <w:rsid w:val="0064639A"/>
    <w:rsid w:val="006636EE"/>
    <w:rsid w:val="006652D9"/>
    <w:rsid w:val="006713FE"/>
    <w:rsid w:val="00682A25"/>
    <w:rsid w:val="00691DDC"/>
    <w:rsid w:val="00696A43"/>
    <w:rsid w:val="006A2ED5"/>
    <w:rsid w:val="006A3516"/>
    <w:rsid w:val="006E18BD"/>
    <w:rsid w:val="006E2597"/>
    <w:rsid w:val="00704487"/>
    <w:rsid w:val="0078564A"/>
    <w:rsid w:val="007C3053"/>
    <w:rsid w:val="007F318F"/>
    <w:rsid w:val="00810587"/>
    <w:rsid w:val="00826E33"/>
    <w:rsid w:val="00843278"/>
    <w:rsid w:val="00865DC4"/>
    <w:rsid w:val="008A4A43"/>
    <w:rsid w:val="008A718D"/>
    <w:rsid w:val="008B6590"/>
    <w:rsid w:val="009410F2"/>
    <w:rsid w:val="00947682"/>
    <w:rsid w:val="00950B6D"/>
    <w:rsid w:val="00964B68"/>
    <w:rsid w:val="0099351C"/>
    <w:rsid w:val="009B2AC9"/>
    <w:rsid w:val="009B4A17"/>
    <w:rsid w:val="009C43B5"/>
    <w:rsid w:val="009F6739"/>
    <w:rsid w:val="00A20346"/>
    <w:rsid w:val="00A37422"/>
    <w:rsid w:val="00A45992"/>
    <w:rsid w:val="00A45B9F"/>
    <w:rsid w:val="00A466B9"/>
    <w:rsid w:val="00A54259"/>
    <w:rsid w:val="00A65CBB"/>
    <w:rsid w:val="00AA49AA"/>
    <w:rsid w:val="00AD6332"/>
    <w:rsid w:val="00AF7EE1"/>
    <w:rsid w:val="00B13D1E"/>
    <w:rsid w:val="00B34469"/>
    <w:rsid w:val="00B41713"/>
    <w:rsid w:val="00B46819"/>
    <w:rsid w:val="00B50F90"/>
    <w:rsid w:val="00B56FD5"/>
    <w:rsid w:val="00B67459"/>
    <w:rsid w:val="00BA13AC"/>
    <w:rsid w:val="00BC7FA0"/>
    <w:rsid w:val="00BD0169"/>
    <w:rsid w:val="00BD5742"/>
    <w:rsid w:val="00BF4675"/>
    <w:rsid w:val="00C172CB"/>
    <w:rsid w:val="00C332E7"/>
    <w:rsid w:val="00C50343"/>
    <w:rsid w:val="00C50356"/>
    <w:rsid w:val="00C64BA1"/>
    <w:rsid w:val="00C76313"/>
    <w:rsid w:val="00C8586D"/>
    <w:rsid w:val="00CA5BDD"/>
    <w:rsid w:val="00CB4595"/>
    <w:rsid w:val="00D22726"/>
    <w:rsid w:val="00D348AA"/>
    <w:rsid w:val="00D61E08"/>
    <w:rsid w:val="00D653C2"/>
    <w:rsid w:val="00D7759C"/>
    <w:rsid w:val="00DA018D"/>
    <w:rsid w:val="00DA1CD6"/>
    <w:rsid w:val="00DB32EC"/>
    <w:rsid w:val="00E03434"/>
    <w:rsid w:val="00E10F9D"/>
    <w:rsid w:val="00E218BE"/>
    <w:rsid w:val="00E22F1C"/>
    <w:rsid w:val="00E32EB0"/>
    <w:rsid w:val="00E52090"/>
    <w:rsid w:val="00E66354"/>
    <w:rsid w:val="00E72578"/>
    <w:rsid w:val="00E75820"/>
    <w:rsid w:val="00E805B7"/>
    <w:rsid w:val="00E82FD7"/>
    <w:rsid w:val="00E96960"/>
    <w:rsid w:val="00EA190B"/>
    <w:rsid w:val="00EA57AC"/>
    <w:rsid w:val="00EB266C"/>
    <w:rsid w:val="00EC0E2F"/>
    <w:rsid w:val="00EC47A7"/>
    <w:rsid w:val="00ED0804"/>
    <w:rsid w:val="00ED7651"/>
    <w:rsid w:val="00EF3200"/>
    <w:rsid w:val="00F57339"/>
    <w:rsid w:val="00F93970"/>
    <w:rsid w:val="00F97EC8"/>
    <w:rsid w:val="00FE2B5C"/>
    <w:rsid w:val="00FE5346"/>
    <w:rsid w:val="00FF2117"/>
    <w:rsid w:val="50BB0A9C"/>
    <w:rsid w:val="7D52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unhideWhenUsed/>
    <w:qFormat/>
    <w:uiPriority w:val="99"/>
    <w:pPr>
      <w:widowControl/>
      <w:snapToGrid w:val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otnote reference"/>
    <w:unhideWhenUsed/>
    <w:qFormat/>
    <w:uiPriority w:val="99"/>
    <w:rPr>
      <w:vertAlign w:val="superscript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脚注文本 字符"/>
    <w:basedOn w:val="9"/>
    <w:link w:val="5"/>
    <w:qFormat/>
    <w:uiPriority w:val="99"/>
    <w:rPr>
      <w:rFonts w:ascii="宋体" w:hAnsi="宋体" w:eastAsia="宋体" w:cs="宋体"/>
      <w:kern w:val="0"/>
      <w:sz w:val="18"/>
      <w:szCs w:val="18"/>
    </w:rPr>
  </w:style>
  <w:style w:type="table" w:customStyle="1" w:styleId="15">
    <w:name w:val="网格型1"/>
    <w:basedOn w:val="7"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批注框文本 字符"/>
    <w:basedOn w:val="9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797</Words>
  <Characters>820</Characters>
  <Lines>16</Lines>
  <Paragraphs>4</Paragraphs>
  <TotalTime>367</TotalTime>
  <ScaleCrop>false</ScaleCrop>
  <LinksUpToDate>false</LinksUpToDate>
  <CharactersWithSpaces>824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2022-01-21T01:44:00Z</dcterms:created>
  <dc:creator>全祉悦</dc:creator>
  <cp:lastModifiedBy>米媛媛</cp:lastModifiedBy>
  <cp:lastPrinted>2026-07-20T07:27:06Z</cp:lastPrinted>
  <dcterms:modified xsi:type="dcterms:W3CDTF">2026-07-20T07:27:09Z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eyJoZGlkIjoiYWQwZjZlZTVjMThiNTFkMThiNDE2MTQ4Y2EwODg0NDAiLCJ1c2VySWQiOiIxMDU2MjQ0ODQ2In0=</vt:lpwstr>
  </property>
  <property fmtid="{D5CDD505-2E9C-101B-9397-08002B2CF9AE}" pid="3" name="KSOProductBuildVer">
    <vt:lpwstr>2052-12.1.0.26895</vt:lpwstr>
  </property>
  <property fmtid="{D5CDD505-2E9C-101B-9397-08002B2CF9AE}" pid="4" name="ICV">
    <vt:lpwstr>6751B3F8F1C541908FE792D7505472C3_12</vt:lpwstr>
  </property>
</Properties>
</file>